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552450" cy="552450"/>
            <wp:effectExtent t="0" r="0" b="0" l="0"/>
            <wp:docPr id="1" name="Logo" descr="Epic Journey Design logo" title="Epic Journey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2450" cy="552450"/>
                    </a:xfrm>
                    <a:prstGeom prst="rect">
                      <a:avLst/>
                    </a:prstGeom>
                  </pic:spPr>
                </pic:pic>
              </a:graphicData>
            </a:graphic>
          </wp:inline>
        </w:drawing>
      </w:r>
    </w:p>
    <w:p>
      <w:pPr>
        <w:spacing w:after="40"/>
      </w:pPr>
      <w:r>
        <w:rPr>
          <w:b/>
          <w:bCs/>
          <w:color w:val="1C2B22"/>
          <w:sz w:val="36"/>
          <w:szCs w:val="36"/>
        </w:rPr>
        <w:t xml:space="preserve">Epic Journey Design</w:t>
      </w:r>
    </w:p>
    <w:p>
      <w:pPr>
        <w:spacing w:after="240"/>
      </w:pPr>
      <w:r>
        <w:rPr>
          <w:color w:val="235C40"/>
          <w:sz w:val="22"/>
          <w:szCs w:val="22"/>
        </w:rPr>
        <w:t xml:space="preserve">RFP Response Template — Museum &amp; Institutional Exhibit Fabrication</w:t>
      </w:r>
    </w:p>
    <w:p>
      <w:pPr>
        <w:spacing w:after="120"/>
      </w:pPr>
      <w:r>
        <w:rPr>
          <w:color w:val="1C2B22"/>
          <w:sz w:val="22"/>
          <w:szCs w:val="22"/>
        </w:rPr>
        <w:t xml:space="preserve">This template mirrors the sections most museum, zoo, university, and park exhibit RFPs ask for. Fill in each shaded box, delete any section the solicitation does not request, and keep the numbering aligned with the issuing institution's own outline where one is provided.</w:t>
      </w:r>
    </w:p>
    <w:p>
      <w:pPr>
        <w:spacing w:after="120"/>
      </w:pPr>
      <w:r>
        <w:rPr>
          <w:color w:val="4A5A50"/>
          <w:sz w:val="20"/>
          <w:szCs w:val="20"/>
        </w:rPr>
        <w:t xml:space="preserve">Prepared by Epic Journey Design, a division of Stehling's Taxidermy — Jefferson and Green Bay, Wisconsin. (920) 650-5457 · info@epicjourneydesign.com · epicjourneydesign.com</w:t>
      </w:r>
    </w:p>
    <w:p>
      <w:pPr>
        <w:spacing w:after="60"/>
      </w:pPr>
      <w:r>
        <w:t xml:space="preserve"/>
      </w:r>
    </w:p>
    <w:p>
      <w:pPr>
        <w:pStyle w:val="Heading1"/>
      </w:pPr>
      <w:r>
        <w:t xml:space="preserve">1. Cover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Institution</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Name of issuing museum / zoo / agency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Solicitation title</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RFP title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Solicitation number</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Number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Due date and time</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Date / time / time zone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Submitted by</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Epic Journey Design</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Contact</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Name, title, phone, email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Date submitted</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Date ]</w:t>
            </w:r>
          </w:p>
        </w:tc>
      </w:tr>
    </w:tbl>
    <w:p>
      <w:pPr>
        <w:spacing w:after="60"/>
      </w:pPr>
      <w:r>
        <w:t xml:space="preserve"/>
      </w:r>
    </w:p>
    <w:p>
      <w:pPr>
        <w:pStyle w:val="Heading1"/>
      </w:pPr>
      <w:r>
        <w:t xml:space="preserve">2. Cover letter</w:t>
      </w:r>
    </w:p>
    <w:p>
      <w:pPr>
        <w:spacing w:after="100"/>
      </w:pPr>
      <w:r>
        <w:rPr>
          <w:i/>
          <w:iCs/>
          <w:color w:val="4A5A50"/>
          <w:sz w:val="20"/>
          <w:szCs w:val="20"/>
        </w:rPr>
        <w:t xml:space="preserve">One page. State the project by name, confirm the scope you are bidding, and name the single point of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Cover letter</w:t>
            </w:r>
          </w:p>
          <w:p>
            <w:pPr>
              <w:spacing w:after="0" w:before="120"/>
            </w:pPr>
            <w:r>
              <w:rPr>
                <w:color w:val="9AA79E"/>
                <w:sz w:val="22"/>
                <w:szCs w:val="22"/>
              </w:rPr>
              <w:t xml:space="preserve">[ Enter response here ]</w:t>
            </w:r>
          </w:p>
        </w:tc>
      </w:tr>
    </w:tbl>
    <w:p>
      <w:pPr>
        <w:spacing w:after="60"/>
      </w:pPr>
      <w:r>
        <w:t xml:space="preserve"/>
      </w:r>
    </w:p>
    <w:p>
      <w:pPr>
        <w:pStyle w:val="Heading1"/>
      </w:pPr>
      <w:r>
        <w:t xml:space="preserve">3. Project understanding</w:t>
      </w:r>
    </w:p>
    <w:p>
      <w:pPr>
        <w:spacing w:after="100"/>
      </w:pPr>
      <w:r>
        <w:rPr>
          <w:i/>
          <w:iCs/>
          <w:color w:val="4A5A50"/>
          <w:sz w:val="20"/>
          <w:szCs w:val="20"/>
        </w:rPr>
        <w:t xml:space="preserve">Restate the institution's goals in your own words: the gallery, the story it must tell, the species and habitat represented, visitor experience goals, and any constraints named in the RFP (existing casework, ADA clearances, load limits, gallery access hours).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Project understanding</w:t>
            </w:r>
          </w:p>
          <w:p>
            <w:pPr>
              <w:spacing w:after="0" w:before="120"/>
            </w:pPr>
            <w:r>
              <w:rPr>
                <w:color w:val="9AA79E"/>
                <w:sz w:val="22"/>
                <w:szCs w:val="22"/>
              </w:rPr>
              <w:t xml:space="preserve">[ Enter response here ]</w:t>
            </w:r>
          </w:p>
        </w:tc>
      </w:tr>
    </w:tbl>
    <w:p>
      <w:pPr>
        <w:spacing w:after="60"/>
      </w:pPr>
      <w:r>
        <w:t xml:space="preserve"/>
      </w:r>
    </w:p>
    <w:p>
      <w:pPr>
        <w:pStyle w:val="Heading1"/>
      </w:pPr>
      <w:r>
        <w:t xml:space="preserve">4. Scope of work and technical approach</w:t>
      </w:r>
    </w:p>
    <w:p>
      <w:pPr>
        <w:pStyle w:val="Heading2"/>
      </w:pPr>
      <w:r>
        <w:t xml:space="preserve">4.1 Design development</w:t>
      </w:r>
    </w:p>
    <w:p>
      <w:pPr>
        <w:spacing w:after="100"/>
      </w:pPr>
      <w:r>
        <w:rPr>
          <w:i/>
          <w:iCs/>
          <w:color w:val="4A5A50"/>
          <w:sz w:val="20"/>
          <w:szCs w:val="20"/>
        </w:rPr>
        <w:t xml:space="preserve">Concept sketches, color studies, sculptural maquettes, review checkpoints with curatorial staff.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Design development</w:t>
            </w:r>
          </w:p>
          <w:p>
            <w:pPr>
              <w:spacing w:after="0" w:before="120"/>
            </w:pPr>
            <w:r>
              <w:rPr>
                <w:color w:val="9AA79E"/>
                <w:sz w:val="22"/>
                <w:szCs w:val="22"/>
              </w:rPr>
              <w:t xml:space="preserve">[ Enter response here ]</w:t>
            </w:r>
          </w:p>
        </w:tc>
      </w:tr>
    </w:tbl>
    <w:p>
      <w:pPr>
        <w:pStyle w:val="Heading2"/>
      </w:pPr>
      <w:r>
        <w:t xml:space="preserve">4.2 Fabrication approach</w:t>
      </w:r>
    </w:p>
    <w:p>
      <w:pPr>
        <w:spacing w:after="100"/>
      </w:pPr>
      <w:r>
        <w:rPr>
          <w:i/>
          <w:iCs/>
          <w:color w:val="4A5A50"/>
          <w:sz w:val="20"/>
          <w:szCs w:val="20"/>
        </w:rPr>
        <w:t xml:space="preserve">Describe the build sequence for each major element of the exhibit.</w:t>
      </w:r>
    </w:p>
    <w:p>
      <w:pPr>
        <w:pStyle w:val="ListParagraph"/>
        <w:numPr>
          <w:ilvl w:val="0"/>
          <w:numId w:val="2"/>
        </w:numPr>
        <w:spacing w:after="60"/>
      </w:pPr>
      <w:r>
        <w:rPr>
          <w:color w:val="4A5A50"/>
          <w:sz w:val="22"/>
          <w:szCs w:val="22"/>
        </w:rPr>
        <w:t xml:space="preserve">Substructure and armature</w:t>
      </w:r>
    </w:p>
    <w:p>
      <w:pPr>
        <w:pStyle w:val="ListParagraph"/>
        <w:numPr>
          <w:ilvl w:val="0"/>
          <w:numId w:val="2"/>
        </w:numPr>
        <w:spacing w:after="60"/>
      </w:pPr>
      <w:r>
        <w:rPr>
          <w:color w:val="4A5A50"/>
          <w:sz w:val="22"/>
          <w:szCs w:val="22"/>
        </w:rPr>
        <w:t xml:space="preserve">Artificial rockwork (GFRC or specialty polymer) and cliff systems</w:t>
      </w:r>
    </w:p>
    <w:p>
      <w:pPr>
        <w:pStyle w:val="ListParagraph"/>
        <w:numPr>
          <w:ilvl w:val="0"/>
          <w:numId w:val="2"/>
        </w:numPr>
        <w:spacing w:after="60"/>
      </w:pPr>
      <w:r>
        <w:rPr>
          <w:color w:val="4A5A50"/>
          <w:sz w:val="22"/>
          <w:szCs w:val="22"/>
        </w:rPr>
        <w:t xml:space="preserve">Water, wetland, snow, or dry-water effects</w:t>
      </w:r>
    </w:p>
    <w:p>
      <w:pPr>
        <w:pStyle w:val="ListParagraph"/>
        <w:numPr>
          <w:ilvl w:val="0"/>
          <w:numId w:val="2"/>
        </w:numPr>
        <w:spacing w:after="60"/>
      </w:pPr>
      <w:r>
        <w:rPr>
          <w:color w:val="4A5A50"/>
          <w:sz w:val="22"/>
          <w:szCs w:val="22"/>
        </w:rPr>
        <w:t xml:space="preserve">Trees, foliage, groundcover, and deadfall</w:t>
      </w:r>
    </w:p>
    <w:p>
      <w:pPr>
        <w:pStyle w:val="ListParagraph"/>
        <w:numPr>
          <w:ilvl w:val="0"/>
          <w:numId w:val="2"/>
        </w:numPr>
        <w:spacing w:after="60"/>
      </w:pPr>
      <w:r>
        <w:rPr>
          <w:color w:val="4A5A50"/>
          <w:sz w:val="22"/>
          <w:szCs w:val="22"/>
        </w:rPr>
        <w:t xml:space="preserve">Backdrop mural and horizon blending</w:t>
      </w:r>
    </w:p>
    <w:p>
      <w:pPr>
        <w:pStyle w:val="ListParagraph"/>
        <w:numPr>
          <w:ilvl w:val="0"/>
          <w:numId w:val="2"/>
        </w:numPr>
        <w:spacing w:after="60"/>
      </w:pPr>
      <w:r>
        <w:rPr>
          <w:color w:val="4A5A50"/>
          <w:sz w:val="22"/>
          <w:szCs w:val="22"/>
        </w:rPr>
        <w:t xml:space="preserve">Taxidermy mount integration and habitat bases</w:t>
      </w:r>
    </w:p>
    <w:p>
      <w:pPr>
        <w:pStyle w:val="ListParagraph"/>
        <w:numPr>
          <w:ilvl w:val="0"/>
          <w:numId w:val="2"/>
        </w:numPr>
        <w:spacing w:after="60"/>
      </w:pPr>
      <w:r>
        <w:rPr>
          <w:color w:val="4A5A50"/>
          <w:sz w:val="22"/>
          <w:szCs w:val="22"/>
        </w:rPr>
        <w:t xml:space="preserve">Lighting coordination and interpretive signage integration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Fabrication approach</w:t>
            </w:r>
          </w:p>
          <w:p>
            <w:pPr>
              <w:spacing w:after="0" w:before="120"/>
            </w:pPr>
            <w:r>
              <w:rPr>
                <w:color w:val="9AA79E"/>
                <w:sz w:val="22"/>
                <w:szCs w:val="22"/>
              </w:rPr>
              <w:t xml:space="preserve">[ Enter response here ]</w:t>
            </w:r>
          </w:p>
        </w:tc>
      </w:tr>
    </w:tbl>
    <w:p>
      <w:pPr>
        <w:pStyle w:val="Heading2"/>
      </w:pPr>
      <w:r>
        <w:t xml:space="preserve">4.3 Delivery and installation</w:t>
      </w:r>
    </w:p>
    <w:p>
      <w:pPr>
        <w:spacing w:after="100"/>
      </w:pPr>
      <w:r>
        <w:rPr>
          <w:i/>
          <w:iCs/>
          <w:color w:val="4A5A50"/>
          <w:sz w:val="20"/>
          <w:szCs w:val="20"/>
        </w:rPr>
        <w:t xml:space="preserve">Crating, freight, site protection, installation crew size, gallery hours, and cleanup.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Delivery and installation</w:t>
            </w:r>
          </w:p>
          <w:p>
            <w:pPr>
              <w:spacing w:after="0" w:before="120"/>
            </w:pPr>
            <w:r>
              <w:rPr>
                <w:color w:val="9AA79E"/>
                <w:sz w:val="22"/>
                <w:szCs w:val="22"/>
              </w:rPr>
              <w:t xml:space="preserve">[ Enter response here ]</w:t>
            </w:r>
          </w:p>
        </w:tc>
      </w:tr>
    </w:tbl>
    <w:p>
      <w:pPr>
        <w:spacing w:after="60"/>
      </w:pPr>
      <w:r>
        <w:t xml:space="preserve"/>
      </w:r>
    </w:p>
    <w:p>
      <w:pPr>
        <w:pStyle w:val="Heading1"/>
      </w:pPr>
      <w:r>
        <w:t xml:space="preserve">5. Materials and conservation standards</w:t>
      </w:r>
    </w:p>
    <w:p>
      <w:pPr>
        <w:spacing w:after="100"/>
      </w:pPr>
      <w:r>
        <w:rPr>
          <w:i/>
          <w:iCs/>
          <w:color w:val="4A5A50"/>
          <w:sz w:val="20"/>
          <w:szCs w:val="20"/>
        </w:rPr>
        <w:t xml:space="preserve">List primary materials and why each is appropriate for a museum environment: durability, weight, flame rating, off-gassing, UV stability, and cleanability. Note any specification the institution's conservator must approve.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Materials and standards</w:t>
            </w:r>
          </w:p>
          <w:p>
            <w:pPr>
              <w:spacing w:after="0" w:before="120"/>
            </w:pPr>
            <w:r>
              <w:rPr>
                <w:color w:val="9AA79E"/>
                <w:sz w:val="22"/>
                <w:szCs w:val="22"/>
              </w:rPr>
              <w:t xml:space="preserve">[ Enter response here ]</w:t>
            </w:r>
          </w:p>
        </w:tc>
      </w:tr>
    </w:tbl>
    <w:p>
      <w:pPr>
        <w:spacing w:after="60"/>
      </w:pPr>
      <w:r>
        <w:t xml:space="preserve"/>
      </w:r>
    </w:p>
    <w:p>
      <w:pPr>
        <w:pStyle w:val="Heading1"/>
      </w:pPr>
      <w:r>
        <w:t xml:space="preserve">6.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2680"/>
        <w:gridCol w:w="2680"/>
      </w:tblGrid>
      <w:tr>
        <w:tc>
          <w:tcPr>
            <w:tcW w:type="dxa" w:w="4000"/>
            <w:tcBorders>
              <w:top w:val="single" w:color="D3E0D6" w:sz="4"/>
              <w:left w:val="single" w:color="D3E0D6" w:sz="4"/>
              <w:bottom w:val="single" w:color="D3E0D6" w:sz="4"/>
              <w:right w:val="single" w:color="D3E0D6" w:sz="4"/>
            </w:tcBorders>
            <w:shd w:fill="235C40" w:val="clear"/>
            <w:tcMar>
              <w:top w:type="dxa" w:w="90"/>
              <w:left w:type="dxa" w:w="140"/>
              <w:bottom w:type="dxa" w:w="90"/>
              <w:right w:type="dxa" w:w="140"/>
            </w:tcMar>
          </w:tcPr>
          <w:p>
            <w:pPr>
              <w:spacing w:after="0"/>
            </w:pPr>
            <w:r>
              <w:rPr>
                <w:b/>
                <w:bCs/>
                <w:color w:val="FFFFFF"/>
                <w:sz w:val="21"/>
                <w:szCs w:val="21"/>
              </w:rPr>
              <w:t xml:space="preserve">Phase</w:t>
            </w:r>
          </w:p>
        </w:tc>
        <w:tc>
          <w:tcPr>
            <w:tcW w:type="dxa" w:w="2680"/>
            <w:tcBorders>
              <w:top w:val="single" w:color="D3E0D6" w:sz="4"/>
              <w:left w:val="single" w:color="D3E0D6" w:sz="4"/>
              <w:bottom w:val="single" w:color="D3E0D6" w:sz="4"/>
              <w:right w:val="single" w:color="D3E0D6" w:sz="4"/>
            </w:tcBorders>
            <w:shd w:fill="235C40" w:val="clear"/>
            <w:tcMar>
              <w:top w:type="dxa" w:w="90"/>
              <w:left w:type="dxa" w:w="140"/>
              <w:bottom w:type="dxa" w:w="90"/>
              <w:right w:type="dxa" w:w="140"/>
            </w:tcMar>
          </w:tcPr>
          <w:p>
            <w:pPr>
              <w:spacing w:after="0"/>
            </w:pPr>
            <w:r>
              <w:rPr>
                <w:b/>
                <w:bCs/>
                <w:color w:val="FFFFFF"/>
                <w:sz w:val="21"/>
                <w:szCs w:val="21"/>
              </w:rPr>
              <w:t xml:space="preserve">Duration</w:t>
            </w:r>
          </w:p>
        </w:tc>
        <w:tc>
          <w:tcPr>
            <w:tcW w:type="dxa" w:w="2680"/>
            <w:tcBorders>
              <w:top w:val="single" w:color="D3E0D6" w:sz="4"/>
              <w:left w:val="single" w:color="D3E0D6" w:sz="4"/>
              <w:bottom w:val="single" w:color="D3E0D6" w:sz="4"/>
              <w:right w:val="single" w:color="D3E0D6" w:sz="4"/>
            </w:tcBorders>
            <w:shd w:fill="235C40" w:val="clear"/>
            <w:tcMar>
              <w:top w:type="dxa" w:w="90"/>
              <w:left w:type="dxa" w:w="140"/>
              <w:bottom w:type="dxa" w:w="90"/>
              <w:right w:type="dxa" w:w="140"/>
            </w:tcMar>
          </w:tcPr>
          <w:p>
            <w:pPr>
              <w:spacing w:after="0"/>
            </w:pPr>
            <w:r>
              <w:rPr>
                <w:b/>
                <w:bCs/>
                <w:color w:val="FFFFFF"/>
                <w:sz w:val="21"/>
                <w:szCs w:val="21"/>
              </w:rPr>
              <w:t xml:space="preserve">Milestone / deliverable</w:t>
            </w:r>
          </w:p>
        </w:tc>
      </w:tr>
      <w:tr>
        <w:tc>
          <w:tcPr>
            <w:tcW w:type="dxa" w:w="400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1C2B22"/>
                <w:sz w:val="21"/>
                <w:szCs w:val="21"/>
              </w:rPr>
              <w:t xml:space="preserve">Design development</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weeks ]</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deliverable ]</w:t>
            </w:r>
          </w:p>
        </w:tc>
      </w:tr>
      <w:tr>
        <w:tc>
          <w:tcPr>
            <w:tcW w:type="dxa" w:w="400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1C2B22"/>
                <w:sz w:val="21"/>
                <w:szCs w:val="21"/>
              </w:rPr>
              <w:t xml:space="preserve">Fabrication</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weeks ]</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deliverable ]</w:t>
            </w:r>
          </w:p>
        </w:tc>
      </w:tr>
      <w:tr>
        <w:tc>
          <w:tcPr>
            <w:tcW w:type="dxa" w:w="400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1C2B22"/>
                <w:sz w:val="21"/>
                <w:szCs w:val="21"/>
              </w:rPr>
              <w:t xml:space="preserve">Finishing and quality review</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weeks ]</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deliverable ]</w:t>
            </w:r>
          </w:p>
        </w:tc>
      </w:tr>
      <w:tr>
        <w:tc>
          <w:tcPr>
            <w:tcW w:type="dxa" w:w="400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1C2B22"/>
                <w:sz w:val="21"/>
                <w:szCs w:val="21"/>
              </w:rPr>
              <w:t xml:space="preserve">Crating and freight</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weeks ]</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deliverable ]</w:t>
            </w:r>
          </w:p>
        </w:tc>
      </w:tr>
      <w:tr>
        <w:tc>
          <w:tcPr>
            <w:tcW w:type="dxa" w:w="400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1C2B22"/>
                <w:sz w:val="21"/>
                <w:szCs w:val="21"/>
              </w:rPr>
              <w:t xml:space="preserve">On-site installation</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weeks ]</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deliverable ]</w:t>
            </w:r>
          </w:p>
        </w:tc>
      </w:tr>
      <w:tr>
        <w:tc>
          <w:tcPr>
            <w:tcW w:type="dxa" w:w="400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1C2B22"/>
                <w:sz w:val="21"/>
                <w:szCs w:val="21"/>
              </w:rPr>
              <w:t xml:space="preserve">Punch list and handover</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weeks ]</w:t>
            </w:r>
          </w:p>
        </w:tc>
        <w:tc>
          <w:tcPr>
            <w:tcW w:type="dxa" w:w="268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deliverable ]</w:t>
            </w:r>
          </w:p>
        </w:tc>
      </w:tr>
    </w:tbl>
    <w:p>
      <w:pPr>
        <w:spacing w:after="60"/>
      </w:pPr>
      <w:r>
        <w:t xml:space="preserve"/>
      </w:r>
    </w:p>
    <w:p>
      <w:pPr>
        <w:pStyle w:val="Heading1"/>
      </w:pPr>
      <w:r>
        <w:t xml:space="preserve">7. Pricing basis</w:t>
      </w:r>
    </w:p>
    <w:p>
      <w:pPr>
        <w:spacing w:after="100"/>
      </w:pPr>
      <w:r>
        <w:rPr>
          <w:i/>
          <w:iCs/>
          <w:color w:val="4A5A50"/>
          <w:sz w:val="20"/>
          <w:szCs w:val="20"/>
        </w:rPr>
        <w:t xml:space="preserve">State what the price includes and excludes rather than quoting a figure here; transfer final numbers onto the institution's own pricing form when one is supplied.</w:t>
      </w:r>
    </w:p>
    <w:p>
      <w:pPr>
        <w:pStyle w:val="ListParagraph"/>
        <w:numPr>
          <w:ilvl w:val="0"/>
          <w:numId w:val="2"/>
        </w:numPr>
        <w:spacing w:after="60"/>
      </w:pPr>
      <w:r>
        <w:rPr>
          <w:color w:val="4A5A50"/>
          <w:sz w:val="22"/>
          <w:szCs w:val="22"/>
        </w:rPr>
        <w:t xml:space="preserve">Included: design development, fabrication labor and materials, finishing, crating, freight, installation</w:t>
      </w:r>
    </w:p>
    <w:p>
      <w:pPr>
        <w:pStyle w:val="ListParagraph"/>
        <w:numPr>
          <w:ilvl w:val="0"/>
          <w:numId w:val="2"/>
        </w:numPr>
        <w:spacing w:after="60"/>
      </w:pPr>
      <w:r>
        <w:rPr>
          <w:color w:val="4A5A50"/>
          <w:sz w:val="22"/>
          <w:szCs w:val="22"/>
        </w:rPr>
        <w:t xml:space="preserve">Excluded: gallery construction, electrical rough-in, case glazing, permits, storage beyond the agreed window</w:t>
      </w:r>
    </w:p>
    <w:p>
      <w:pPr>
        <w:pStyle w:val="ListParagraph"/>
        <w:numPr>
          <w:ilvl w:val="0"/>
          <w:numId w:val="2"/>
        </w:numPr>
        <w:spacing w:after="60"/>
      </w:pPr>
      <w:r>
        <w:rPr>
          <w:color w:val="4A5A50"/>
          <w:sz w:val="22"/>
          <w:szCs w:val="22"/>
        </w:rPr>
        <w:t xml:space="preserve">Allowances and unit rates for scope that cannot be fixed at bid time</w:t>
      </w:r>
    </w:p>
    <w:p>
      <w:pPr>
        <w:pStyle w:val="ListParagraph"/>
        <w:numPr>
          <w:ilvl w:val="0"/>
          <w:numId w:val="2"/>
        </w:numPr>
        <w:spacing w:after="60"/>
      </w:pPr>
      <w:r>
        <w:rPr>
          <w:color w:val="4A5A50"/>
          <w:sz w:val="22"/>
          <w:szCs w:val="22"/>
        </w:rPr>
        <w:t xml:space="preserve">Payment schedule tied to the milestones in Section 6</w:t>
      </w:r>
    </w:p>
    <w:p>
      <w:pPr>
        <w:pStyle w:val="ListParagraph"/>
        <w:numPr>
          <w:ilvl w:val="0"/>
          <w:numId w:val="2"/>
        </w:numPr>
        <w:spacing w:after="60"/>
      </w:pPr>
      <w:r>
        <w:rPr>
          <w:color w:val="4A5A50"/>
          <w:sz w:val="22"/>
          <w:szCs w:val="22"/>
        </w:rPr>
        <w:t xml:space="preserve">Change-order process and hourly rates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Pricing basis and assumptions</w:t>
            </w:r>
          </w:p>
          <w:p>
            <w:pPr>
              <w:spacing w:after="0" w:before="120"/>
            </w:pPr>
            <w:r>
              <w:rPr>
                <w:color w:val="9AA79E"/>
                <w:sz w:val="22"/>
                <w:szCs w:val="22"/>
              </w:rPr>
              <w:t xml:space="preserve">[ Enter response here ]</w:t>
            </w:r>
          </w:p>
        </w:tc>
      </w:tr>
    </w:tbl>
    <w:p>
      <w:pPr>
        <w:spacing w:after="60"/>
      </w:pPr>
      <w:r>
        <w:t xml:space="preserve"/>
      </w:r>
    </w:p>
    <w:p>
      <w:pPr>
        <w:pStyle w:val="Heading1"/>
      </w:pPr>
      <w:r>
        <w:t xml:space="preserve">8. Qualifications and past performance</w:t>
      </w:r>
    </w:p>
    <w:p>
      <w:pPr>
        <w:spacing w:after="100"/>
      </w:pPr>
      <w:r>
        <w:rPr>
          <w:i/>
          <w:iCs/>
          <w:color w:val="4A5A50"/>
          <w:sz w:val="20"/>
          <w:szCs w:val="20"/>
        </w:rPr>
        <w:t xml:space="preserve">Attach the Epic Journey Design Capabilities Statement and add project-specific examples.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Comparable projects — institution, scope, year, outcome</w:t>
            </w:r>
          </w:p>
          <w:p>
            <w:pPr>
              <w:spacing w:after="0" w:before="120"/>
            </w:pPr>
            <w:r>
              <w:rPr>
                <w:color w:val="9AA79E"/>
                <w:sz w:val="22"/>
                <w:szCs w:val="22"/>
              </w:rPr>
              <w:t xml:space="preserve">[ Enter response here ]</w:t>
            </w:r>
          </w:p>
        </w:tc>
      </w:tr>
    </w:tbl>
    <w:p>
      <w:pPr>
        <w:spacing w:after="60"/>
      </w:pPr>
      <w:r>
        <w:t xml:space="preserve"/>
      </w:r>
    </w:p>
    <w:p>
      <w:pPr>
        <w:pStyle w:val="Heading1"/>
      </w:pPr>
      <w:r>
        <w:t xml:space="preserve">9. References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Reference 1</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Institution, contact name, title, phone, email, project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Reference 2</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Institution, contact name, title, phone, email, project ]</w:t>
            </w:r>
          </w:p>
        </w:tc>
      </w:tr>
      <w:tr>
        <w:tc>
          <w:tcPr>
            <w:tcW w:type="dxa" w:w="3000"/>
            <w:tcBorders>
              <w:top w:val="single" w:color="D3E0D6" w:sz="4"/>
              <w:left w:val="single" w:color="D3E0D6" w:sz="4"/>
              <w:bottom w:val="single" w:color="D3E0D6" w:sz="4"/>
              <w:right w:val="single" w:color="D3E0D6" w:sz="4"/>
            </w:tcBorders>
            <w:shd w:fill="EEF3EF" w:val="clear"/>
            <w:tcMar>
              <w:top w:type="dxa" w:w="90"/>
              <w:left w:type="dxa" w:w="140"/>
              <w:bottom w:type="dxa" w:w="90"/>
              <w:right w:type="dxa" w:w="140"/>
            </w:tcMar>
          </w:tcPr>
          <w:p>
            <w:pPr>
              <w:spacing w:after="0"/>
            </w:pPr>
            <w:r>
              <w:rPr>
                <w:b/>
                <w:bCs/>
                <w:color w:val="1C2B22"/>
                <w:sz w:val="21"/>
                <w:szCs w:val="21"/>
              </w:rPr>
              <w:t xml:space="preserve">Reference 3</w:t>
            </w:r>
          </w:p>
        </w:tc>
        <w:tc>
          <w:tcPr>
            <w:tcW w:type="dxa" w:w="6360"/>
            <w:tcBorders>
              <w:top w:val="single" w:color="D3E0D6" w:sz="4"/>
              <w:left w:val="single" w:color="D3E0D6" w:sz="4"/>
              <w:bottom w:val="single" w:color="D3E0D6" w:sz="4"/>
              <w:right w:val="single" w:color="D3E0D6" w:sz="4"/>
            </w:tcBorders>
            <w:tcMar>
              <w:top w:type="dxa" w:w="90"/>
              <w:left w:type="dxa" w:w="140"/>
              <w:bottom w:type="dxa" w:w="90"/>
              <w:right w:type="dxa" w:w="140"/>
            </w:tcMar>
          </w:tcPr>
          <w:p>
            <w:pPr>
              <w:spacing w:after="0"/>
            </w:pPr>
            <w:r>
              <w:rPr>
                <w:color w:val="9AA79E"/>
                <w:sz w:val="21"/>
                <w:szCs w:val="21"/>
              </w:rPr>
              <w:t xml:space="preserve">[ Institution, contact name, title, phone, email, project ]</w:t>
            </w:r>
          </w:p>
        </w:tc>
      </w:tr>
    </w:tbl>
    <w:p>
      <w:pPr>
        <w:spacing w:after="60"/>
      </w:pPr>
      <w:r>
        <w:t xml:space="preserve"/>
      </w:r>
    </w:p>
    <w:p>
      <w:pPr>
        <w:pStyle w:val="Heading1"/>
      </w:pPr>
      <w:r>
        <w:t xml:space="preserve">10. Insurance, compliance, and attachments</w:t>
      </w:r>
    </w:p>
    <w:p>
      <w:pPr>
        <w:pStyle w:val="ListParagraph"/>
        <w:numPr>
          <w:ilvl w:val="0"/>
          <w:numId w:val="2"/>
        </w:numPr>
        <w:spacing w:after="60"/>
      </w:pPr>
      <w:r>
        <w:rPr>
          <w:color w:val="4A5A50"/>
          <w:sz w:val="22"/>
          <w:szCs w:val="22"/>
        </w:rPr>
        <w:t xml:space="preserve">Certificate of insurance naming the institution as additional insured</w:t>
      </w:r>
    </w:p>
    <w:p>
      <w:pPr>
        <w:pStyle w:val="ListParagraph"/>
        <w:numPr>
          <w:ilvl w:val="0"/>
          <w:numId w:val="2"/>
        </w:numPr>
        <w:spacing w:after="60"/>
      </w:pPr>
      <w:r>
        <w:rPr>
          <w:color w:val="4A5A50"/>
          <w:sz w:val="22"/>
          <w:szCs w:val="22"/>
        </w:rPr>
        <w:t xml:space="preserve">W-9 and vendor registration forms</w:t>
      </w:r>
    </w:p>
    <w:p>
      <w:pPr>
        <w:pStyle w:val="ListParagraph"/>
        <w:numPr>
          <w:ilvl w:val="0"/>
          <w:numId w:val="2"/>
        </w:numPr>
        <w:spacing w:after="60"/>
      </w:pPr>
      <w:r>
        <w:rPr>
          <w:color w:val="4A5A50"/>
          <w:sz w:val="22"/>
          <w:szCs w:val="22"/>
        </w:rPr>
        <w:t xml:space="preserve">Signed addenda acknowledgements</w:t>
      </w:r>
    </w:p>
    <w:p>
      <w:pPr>
        <w:pStyle w:val="ListParagraph"/>
        <w:numPr>
          <w:ilvl w:val="0"/>
          <w:numId w:val="2"/>
        </w:numPr>
        <w:spacing w:after="60"/>
      </w:pPr>
      <w:r>
        <w:rPr>
          <w:color w:val="4A5A50"/>
          <w:sz w:val="22"/>
          <w:szCs w:val="22"/>
        </w:rPr>
        <w:t xml:space="preserve">Safety plan and site conduct policy</w:t>
      </w:r>
    </w:p>
    <w:p>
      <w:pPr>
        <w:pStyle w:val="ListParagraph"/>
        <w:numPr>
          <w:ilvl w:val="0"/>
          <w:numId w:val="2"/>
        </w:numPr>
        <w:spacing w:after="60"/>
      </w:pPr>
      <w:r>
        <w:rPr>
          <w:color w:val="4A5A50"/>
          <w:sz w:val="22"/>
          <w:szCs w:val="22"/>
        </w:rPr>
        <w:t xml:space="preserve">Warranty terms and maintenance guidance for the finished exhibit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3E0D6" w:sz="4"/>
              <w:left w:val="single" w:color="D3E0D6" w:sz="4"/>
              <w:bottom w:val="single" w:color="D3E0D6" w:sz="4"/>
              <w:right w:val="single" w:color="D3E0D6" w:sz="4"/>
            </w:tcBorders>
            <w:shd w:fill="EEF3EF" w:val="clear"/>
            <w:tcMar>
              <w:top w:type="dxa" w:w="120"/>
              <w:left w:type="dxa" w:w="160"/>
              <w:bottom w:type="dxa" w:w="160"/>
              <w:right w:type="dxa" w:w="160"/>
            </w:tcMar>
          </w:tcPr>
          <w:p>
            <w:pPr>
              <w:spacing w:after="0"/>
            </w:pPr>
            <w:r>
              <w:rPr>
                <w:i/>
                <w:iCs/>
                <w:color w:val="7A8A80"/>
                <w:sz w:val="20"/>
                <w:szCs w:val="20"/>
              </w:rPr>
              <w:t xml:space="preserve">Attachment list</w:t>
            </w:r>
          </w:p>
          <w:p>
            <w:pPr>
              <w:spacing w:after="0" w:before="120"/>
            </w:pPr>
            <w:r>
              <w:rPr>
                <w:color w:val="9AA79E"/>
                <w:sz w:val="22"/>
                <w:szCs w:val="22"/>
              </w:rPr>
              <w:t xml:space="preserve">[ Enter response here ]</w:t>
            </w:r>
          </w:p>
        </w:tc>
      </w:tr>
    </w:tbl>
    <w:sectPr>
      <w:footerReference w:type="default" r:id="rId7"/>
      <w:pgSz w:w="12240" w:h="15840" w:orient="portrait"/>
      <w:pgMar w:top="10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9AA79E"/>
        <w:sz w:val="18"/>
        <w:szCs w:val="18"/>
      </w:rPr>
      <w:t xml:space="preserve">Epic Journey Design — RFP Response Template</w:t>
    </w:r>
    <w:r>
      <w:rPr>
        <w:color w:val="9AA79E"/>
        <w:sz w:val="18"/>
        <w:szCs w:val="18"/>
      </w:rPr>
      <w:t xml:space="preserve">	Page </w:t>
    </w:r>
    <w:r>
      <w:rPr>
        <w:color w:val="9AA79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4A5A5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D3E0D6" w:sz="6" w:space="6"/>
      </w:pBdr>
      <w:spacing w:after="120" w:before="200"/>
      <w:outlineLvl w:val="0"/>
    </w:pPr>
    <w:rPr>
      <w:rFonts w:ascii="Arial" w:cs="Arial" w:eastAsia="Arial" w:hAnsi="Arial"/>
      <w:b/>
      <w:bCs/>
      <w:color w:val="235C40"/>
      <w:sz w:val="26"/>
      <w:szCs w:val="26"/>
    </w:rPr>
  </w:style>
  <w:style w:type="paragraph" w:styleId="Heading2">
    <w:name w:val="Heading 2"/>
    <w:basedOn w:val="Normal"/>
    <w:next w:val="Normal"/>
    <w:qFormat/>
    <w:pPr>
      <w:spacing w:after="100" w:before="180"/>
      <w:outlineLvl w:val="1"/>
    </w:pPr>
    <w:rPr>
      <w:rFonts w:ascii="Arial" w:cs="Arial" w:eastAsia="Arial" w:hAnsi="Arial"/>
      <w:b/>
      <w:bCs/>
      <w:color w:val="1C2B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6f4ce53579260e022cf16c45eb0d2399615a21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2026-09-06T16:26:02.257Z</dcterms:created>
  <dcterms:modified xsi:type="dcterms:W3CDTF">2026-09-06T16:26:02.257Z</dcterms:modified>
</cp:coreProperties>
</file>

<file path=docProps/custom.xml><?xml version="1.0" encoding="utf-8"?>
<Properties xmlns="http://schemas.openxmlformats.org/officeDocument/2006/custom-properties" xmlns:vt="http://schemas.openxmlformats.org/officeDocument/2006/docPropsVTypes"/>
</file>